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B12D3D" w14:paraId="0828FF2B" w14:textId="77777777" w:rsidTr="00B12D3D">
        <w:tc>
          <w:tcPr>
            <w:tcW w:w="2518" w:type="dxa"/>
            <w:shd w:val="clear" w:color="auto" w:fill="D9D9D9" w:themeFill="background1" w:themeFillShade="D9"/>
          </w:tcPr>
          <w:p w14:paraId="4D8224DA" w14:textId="77777777" w:rsidR="00B12D3D" w:rsidRDefault="00B12D3D" w:rsidP="00E63761">
            <w:r>
              <w:t>Portland Aluminium #</w:t>
            </w:r>
          </w:p>
        </w:tc>
        <w:tc>
          <w:tcPr>
            <w:tcW w:w="2977" w:type="dxa"/>
          </w:tcPr>
          <w:p w14:paraId="14CC997D" w14:textId="77777777" w:rsidR="00B12D3D" w:rsidRDefault="00B12D3D" w:rsidP="00E63761">
            <w:r>
              <w:t>SWI-PA085PPO-0017</w:t>
            </w:r>
          </w:p>
        </w:tc>
      </w:tr>
    </w:tbl>
    <w:p w14:paraId="27D1D549" w14:textId="77777777" w:rsidR="00B12D3D" w:rsidRDefault="00B12D3D" w:rsidP="00E637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352"/>
        <w:gridCol w:w="3034"/>
        <w:gridCol w:w="1978"/>
      </w:tblGrid>
      <w:tr w:rsidR="00B12D3D" w14:paraId="69D08FAE" w14:textId="77777777" w:rsidTr="00B12D3D">
        <w:tc>
          <w:tcPr>
            <w:tcW w:w="2660" w:type="dxa"/>
            <w:shd w:val="clear" w:color="auto" w:fill="D9D9D9" w:themeFill="background1" w:themeFillShade="D9"/>
          </w:tcPr>
          <w:p w14:paraId="37F021FE" w14:textId="77777777" w:rsidR="00B12D3D" w:rsidRDefault="00B12D3D" w:rsidP="00E63761">
            <w:r>
              <w:t>HIRA completed</w:t>
            </w:r>
          </w:p>
        </w:tc>
        <w:tc>
          <w:tcPr>
            <w:tcW w:w="2352" w:type="dxa"/>
          </w:tcPr>
          <w:p w14:paraId="1254EA43" w14:textId="77777777" w:rsidR="00B12D3D" w:rsidRDefault="00B12D3D" w:rsidP="00E63761">
            <w:r>
              <w:t xml:space="preserve">   Yes         No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5EABCFC6" w14:textId="77777777" w:rsidR="00B12D3D" w:rsidRDefault="00B12D3D" w:rsidP="00E63761">
            <w:r>
              <w:t>Ergo Assessment completed</w:t>
            </w:r>
          </w:p>
        </w:tc>
        <w:tc>
          <w:tcPr>
            <w:tcW w:w="1978" w:type="dxa"/>
          </w:tcPr>
          <w:p w14:paraId="004ECB0E" w14:textId="77777777" w:rsidR="00B12D3D" w:rsidRDefault="00B12D3D" w:rsidP="00E63761">
            <w:r>
              <w:t>Yes        No</w:t>
            </w:r>
          </w:p>
        </w:tc>
      </w:tr>
      <w:tr w:rsidR="00B12D3D" w14:paraId="6EB89548" w14:textId="77777777" w:rsidTr="00B12D3D">
        <w:tc>
          <w:tcPr>
            <w:tcW w:w="2660" w:type="dxa"/>
            <w:shd w:val="clear" w:color="auto" w:fill="D9D9D9" w:themeFill="background1" w:themeFillShade="D9"/>
          </w:tcPr>
          <w:p w14:paraId="0124FDE1" w14:textId="77777777" w:rsidR="00B12D3D" w:rsidRDefault="00B12D3D" w:rsidP="00E63761">
            <w:r>
              <w:t>SIW/</w:t>
            </w:r>
            <w:r w:rsidR="0028376E">
              <w:t>WIP</w:t>
            </w:r>
            <w:r>
              <w:t xml:space="preserve"> completed</w:t>
            </w:r>
          </w:p>
        </w:tc>
        <w:tc>
          <w:tcPr>
            <w:tcW w:w="2352" w:type="dxa"/>
          </w:tcPr>
          <w:p w14:paraId="032C3F50" w14:textId="77777777" w:rsidR="00B12D3D" w:rsidRDefault="00B12D3D" w:rsidP="00E63761">
            <w:r>
              <w:t xml:space="preserve">   Yes         No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538597BC" w14:textId="77777777" w:rsidR="00B12D3D" w:rsidRDefault="00B12D3D" w:rsidP="00E63761">
            <w:r>
              <w:t>JSA completed</w:t>
            </w:r>
          </w:p>
        </w:tc>
        <w:tc>
          <w:tcPr>
            <w:tcW w:w="1978" w:type="dxa"/>
          </w:tcPr>
          <w:p w14:paraId="471AEB10" w14:textId="77777777" w:rsidR="00B12D3D" w:rsidRDefault="00B12D3D" w:rsidP="00E63761">
            <w:r>
              <w:t xml:space="preserve">Yes         No       </w:t>
            </w:r>
          </w:p>
        </w:tc>
      </w:tr>
    </w:tbl>
    <w:p w14:paraId="3A43EE82" w14:textId="77777777" w:rsidR="00B12D3D" w:rsidRDefault="00B12D3D" w:rsidP="00E637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364"/>
      </w:tblGrid>
      <w:tr w:rsidR="00B12D3D" w14:paraId="4F0046CE" w14:textId="77777777" w:rsidTr="00123C5C">
        <w:tc>
          <w:tcPr>
            <w:tcW w:w="2660" w:type="dxa"/>
            <w:shd w:val="clear" w:color="auto" w:fill="C6D9F1" w:themeFill="text2" w:themeFillTint="33"/>
          </w:tcPr>
          <w:p w14:paraId="5B21B4BC" w14:textId="77777777" w:rsidR="00B12D3D" w:rsidRPr="00B12D3D" w:rsidRDefault="00B12D3D" w:rsidP="00B12D3D">
            <w:pPr>
              <w:jc w:val="center"/>
              <w:rPr>
                <w:b/>
              </w:rPr>
            </w:pPr>
            <w:r w:rsidRPr="00B12D3D">
              <w:rPr>
                <w:b/>
              </w:rPr>
              <w:t>Item</w:t>
            </w:r>
          </w:p>
        </w:tc>
        <w:tc>
          <w:tcPr>
            <w:tcW w:w="7364" w:type="dxa"/>
            <w:shd w:val="clear" w:color="auto" w:fill="C6D9F1" w:themeFill="text2" w:themeFillTint="33"/>
          </w:tcPr>
          <w:p w14:paraId="371F8363" w14:textId="77777777" w:rsidR="00B12D3D" w:rsidRPr="00B12D3D" w:rsidRDefault="00B12D3D" w:rsidP="00B12D3D">
            <w:pPr>
              <w:jc w:val="center"/>
              <w:rPr>
                <w:b/>
              </w:rPr>
            </w:pPr>
            <w:r w:rsidRPr="00B12D3D">
              <w:rPr>
                <w:b/>
              </w:rPr>
              <w:t xml:space="preserve">Notes / </w:t>
            </w:r>
            <w:r w:rsidR="0028376E" w:rsidRPr="00B12D3D">
              <w:rPr>
                <w:b/>
              </w:rPr>
              <w:t>Explanation</w:t>
            </w:r>
          </w:p>
        </w:tc>
      </w:tr>
      <w:tr w:rsidR="00B12D3D" w14:paraId="1C498DA0" w14:textId="77777777" w:rsidTr="00123C5C">
        <w:tc>
          <w:tcPr>
            <w:tcW w:w="2660" w:type="dxa"/>
          </w:tcPr>
          <w:p w14:paraId="58A91E82" w14:textId="77777777" w:rsidR="00B12D3D" w:rsidRDefault="00566B6F">
            <w:r>
              <w:t>Purpose</w:t>
            </w:r>
          </w:p>
        </w:tc>
        <w:tc>
          <w:tcPr>
            <w:tcW w:w="7364" w:type="dxa"/>
          </w:tcPr>
          <w:p w14:paraId="6B043A9D" w14:textId="77777777" w:rsidR="00B12D3D" w:rsidRDefault="00566B6F">
            <w:r>
              <w:t>To maintain each vehicle to a high visual standard inside and out</w:t>
            </w:r>
          </w:p>
        </w:tc>
      </w:tr>
      <w:tr w:rsidR="00B12D3D" w14:paraId="0D67525E" w14:textId="77777777" w:rsidTr="00123C5C">
        <w:tc>
          <w:tcPr>
            <w:tcW w:w="2660" w:type="dxa"/>
          </w:tcPr>
          <w:p w14:paraId="4CCAFEE1" w14:textId="77777777" w:rsidR="00B12D3D" w:rsidRDefault="00566B6F">
            <w:r>
              <w:t>Applied To</w:t>
            </w:r>
          </w:p>
        </w:tc>
        <w:tc>
          <w:tcPr>
            <w:tcW w:w="7364" w:type="dxa"/>
          </w:tcPr>
          <w:p w14:paraId="22A0C9B8" w14:textId="77777777" w:rsidR="00B12D3D" w:rsidRDefault="00566B6F">
            <w:r>
              <w:t>Windward Industries Employees</w:t>
            </w:r>
          </w:p>
        </w:tc>
      </w:tr>
      <w:tr w:rsidR="00566B6F" w14:paraId="135771A5" w14:textId="77777777" w:rsidTr="00123C5C">
        <w:tc>
          <w:tcPr>
            <w:tcW w:w="2660" w:type="dxa"/>
          </w:tcPr>
          <w:p w14:paraId="4FCF8E4E" w14:textId="77777777" w:rsidR="00566B6F" w:rsidRDefault="00566B6F">
            <w:r>
              <w:t>Related Documentation</w:t>
            </w:r>
          </w:p>
        </w:tc>
        <w:tc>
          <w:tcPr>
            <w:tcW w:w="7364" w:type="dxa"/>
          </w:tcPr>
          <w:p w14:paraId="68931BFA" w14:textId="77777777" w:rsidR="00566B6F" w:rsidRDefault="00566B6F">
            <w:r>
              <w:t>TW20 Truck wash D0212236</w:t>
            </w:r>
          </w:p>
          <w:p w14:paraId="6EA53742" w14:textId="77777777" w:rsidR="00566B6F" w:rsidRDefault="00566B6F">
            <w:r>
              <w:t>Windex D0233951</w:t>
            </w:r>
          </w:p>
          <w:p w14:paraId="5345DF54" w14:textId="77777777" w:rsidR="00566B6F" w:rsidRDefault="00566B6F">
            <w:r>
              <w:t>Windex Blue D0164443</w:t>
            </w:r>
          </w:p>
          <w:p w14:paraId="3A957933" w14:textId="77777777" w:rsidR="00566B6F" w:rsidRDefault="0028376E">
            <w:r>
              <w:t>Armor</w:t>
            </w:r>
            <w:r w:rsidR="00566B6F">
              <w:t xml:space="preserve"> All Protectant D0226299</w:t>
            </w:r>
          </w:p>
        </w:tc>
      </w:tr>
      <w:tr w:rsidR="00566B6F" w14:paraId="3BA2B7C6" w14:textId="77777777" w:rsidTr="00123C5C">
        <w:tc>
          <w:tcPr>
            <w:tcW w:w="2660" w:type="dxa"/>
          </w:tcPr>
          <w:p w14:paraId="1CAF91CC" w14:textId="77777777" w:rsidR="00566B6F" w:rsidRDefault="00566B6F">
            <w:r>
              <w:t>Isolation</w:t>
            </w:r>
          </w:p>
        </w:tc>
        <w:tc>
          <w:tcPr>
            <w:tcW w:w="7364" w:type="dxa"/>
          </w:tcPr>
          <w:p w14:paraId="16790432" w14:textId="77777777" w:rsidR="00566B6F" w:rsidRDefault="00566B6F">
            <w:r>
              <w:t xml:space="preserve">Keys to be removed and handed to </w:t>
            </w:r>
            <w:r w:rsidR="0028376E">
              <w:t>Windward</w:t>
            </w:r>
            <w:r>
              <w:t xml:space="preserve"> Industries Manager</w:t>
            </w:r>
          </w:p>
        </w:tc>
      </w:tr>
      <w:tr w:rsidR="00566B6F" w14:paraId="661268F2" w14:textId="77777777" w:rsidTr="00123C5C">
        <w:tc>
          <w:tcPr>
            <w:tcW w:w="2660" w:type="dxa"/>
          </w:tcPr>
          <w:p w14:paraId="6C70F6F3" w14:textId="77777777" w:rsidR="00566B6F" w:rsidRDefault="00566B6F">
            <w:r>
              <w:t>Specialised Training, Certification, Licensing</w:t>
            </w:r>
          </w:p>
        </w:tc>
        <w:tc>
          <w:tcPr>
            <w:tcW w:w="7364" w:type="dxa"/>
          </w:tcPr>
          <w:p w14:paraId="44BEC82E" w14:textId="77777777" w:rsidR="00566B6F" w:rsidRDefault="00566B6F">
            <w:r>
              <w:t>Nil</w:t>
            </w:r>
          </w:p>
        </w:tc>
      </w:tr>
      <w:tr w:rsidR="00566B6F" w14:paraId="40686AEB" w14:textId="77777777" w:rsidTr="00123C5C">
        <w:tc>
          <w:tcPr>
            <w:tcW w:w="2660" w:type="dxa"/>
          </w:tcPr>
          <w:p w14:paraId="6B50FCC1" w14:textId="77777777" w:rsidR="00566B6F" w:rsidRDefault="00566B6F">
            <w:r>
              <w:t>Environmental hazards and waste</w:t>
            </w:r>
          </w:p>
        </w:tc>
        <w:tc>
          <w:tcPr>
            <w:tcW w:w="7364" w:type="dxa"/>
          </w:tcPr>
          <w:p w14:paraId="1CFD6716" w14:textId="77777777" w:rsidR="00566B6F" w:rsidRDefault="00566B6F" w:rsidP="00566B6F">
            <w:r>
              <w:t xml:space="preserve">Minimal detergents to be used, with any </w:t>
            </w:r>
            <w:r w:rsidR="0028376E">
              <w:t>excess</w:t>
            </w:r>
            <w:r>
              <w:t xml:space="preserve"> to be diluted and washed into drain.  Used rags to be returned to the </w:t>
            </w:r>
            <w:r w:rsidR="0028376E">
              <w:t>Windward</w:t>
            </w:r>
            <w:r>
              <w:t xml:space="preserve"> work area and disposed of according to site requirements in the correct bin.</w:t>
            </w:r>
          </w:p>
        </w:tc>
      </w:tr>
      <w:tr w:rsidR="00566B6F" w14:paraId="2016F12A" w14:textId="77777777" w:rsidTr="00123C5C">
        <w:tc>
          <w:tcPr>
            <w:tcW w:w="2660" w:type="dxa"/>
          </w:tcPr>
          <w:p w14:paraId="00DA8E7E" w14:textId="77777777" w:rsidR="00566B6F" w:rsidRDefault="00123C5C">
            <w:r>
              <w:t>Pre-operational checks &amp; pre-work</w:t>
            </w:r>
          </w:p>
        </w:tc>
        <w:tc>
          <w:tcPr>
            <w:tcW w:w="7364" w:type="dxa"/>
          </w:tcPr>
          <w:p w14:paraId="5B99386F" w14:textId="77777777" w:rsidR="00566B6F" w:rsidRDefault="00123C5C" w:rsidP="00566B6F">
            <w:r>
              <w:t xml:space="preserve">General </w:t>
            </w:r>
            <w:r w:rsidR="0028376E">
              <w:t>vehicle</w:t>
            </w:r>
            <w:r>
              <w:t xml:space="preserve"> checklists and any other checklist </w:t>
            </w:r>
            <w:r w:rsidR="0028376E">
              <w:t>relevant</w:t>
            </w:r>
            <w:r>
              <w:t xml:space="preserve"> to task</w:t>
            </w:r>
          </w:p>
        </w:tc>
      </w:tr>
      <w:tr w:rsidR="00123C5C" w14:paraId="0770B82B" w14:textId="77777777" w:rsidTr="00123C5C">
        <w:tc>
          <w:tcPr>
            <w:tcW w:w="2660" w:type="dxa"/>
          </w:tcPr>
          <w:p w14:paraId="2B2E9A59" w14:textId="77777777" w:rsidR="00123C5C" w:rsidRDefault="00123C5C">
            <w:r>
              <w:t>Safety Equipment (additional to Site standard requirements)</w:t>
            </w:r>
          </w:p>
        </w:tc>
        <w:tc>
          <w:tcPr>
            <w:tcW w:w="7364" w:type="dxa"/>
          </w:tcPr>
          <w:p w14:paraId="35E403C0" w14:textId="77777777" w:rsidR="00123C5C" w:rsidRDefault="00123C5C" w:rsidP="00566B6F">
            <w:r>
              <w:t>Nil</w:t>
            </w:r>
          </w:p>
        </w:tc>
      </w:tr>
      <w:tr w:rsidR="00123C5C" w14:paraId="61BE58CE" w14:textId="77777777" w:rsidTr="00123C5C">
        <w:tc>
          <w:tcPr>
            <w:tcW w:w="2660" w:type="dxa"/>
          </w:tcPr>
          <w:p w14:paraId="0A55EDD1" w14:textId="77777777" w:rsidR="00123C5C" w:rsidRDefault="00123C5C">
            <w:r>
              <w:t>Material Tools and Equipment</w:t>
            </w:r>
          </w:p>
        </w:tc>
        <w:tc>
          <w:tcPr>
            <w:tcW w:w="7364" w:type="dxa"/>
          </w:tcPr>
          <w:p w14:paraId="1D911424" w14:textId="77777777" w:rsidR="00123C5C" w:rsidRDefault="00123C5C" w:rsidP="00566B6F">
            <w:r>
              <w:t>Bucket, truck wash. Detergent, soft broom, vacuum, cloths and rags</w:t>
            </w:r>
          </w:p>
        </w:tc>
      </w:tr>
    </w:tbl>
    <w:p w14:paraId="5E61CBB9" w14:textId="77777777" w:rsidR="00BA6455" w:rsidRPr="00E63761" w:rsidRDefault="00BA6455" w:rsidP="00BA6455">
      <w:pPr>
        <w:spacing w:after="0"/>
        <w:rPr>
          <w:sz w:val="12"/>
        </w:rPr>
      </w:pPr>
    </w:p>
    <w:p w14:paraId="68D15FD5" w14:textId="77777777" w:rsidR="00123C5C" w:rsidRDefault="002E3CEF" w:rsidP="00BA6455">
      <w:pPr>
        <w:spacing w:after="0"/>
      </w:pPr>
      <w:r>
        <w:t>This SWI provides the operator with a Human Performance reference.  The symbols and step within the chart will help the operator identify the Human Performance guidelines located in the step by step procedure.</w:t>
      </w:r>
    </w:p>
    <w:p w14:paraId="4356503C" w14:textId="77777777" w:rsidR="002E3CEF" w:rsidRDefault="002E3CEF" w:rsidP="00BA6455">
      <w:pPr>
        <w:spacing w:after="0"/>
      </w:pPr>
      <w:r>
        <w:t>The author needs to be mindful not to over use the Icons, thus negating the purpose and impact of an icon when observed by the reader.  Insert and Icon when:</w:t>
      </w:r>
    </w:p>
    <w:p w14:paraId="6150F02D" w14:textId="77777777" w:rsidR="00BA6455" w:rsidRPr="00E63761" w:rsidRDefault="00BA6455" w:rsidP="00BA6455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1"/>
        <w:gridCol w:w="1729"/>
        <w:gridCol w:w="4954"/>
      </w:tblGrid>
      <w:tr w:rsidR="002E3CEF" w14:paraId="772CB8B6" w14:textId="77777777" w:rsidTr="002E3CEF">
        <w:tc>
          <w:tcPr>
            <w:tcW w:w="3341" w:type="dxa"/>
          </w:tcPr>
          <w:p w14:paraId="791ADB24" w14:textId="77777777" w:rsidR="002E3CEF" w:rsidRDefault="00255139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19F7595" wp14:editId="5D6E79B1">
                  <wp:extent cx="541325" cy="541325"/>
                  <wp:effectExtent l="0" t="0" r="0" b="0"/>
                  <wp:docPr id="18" name="Picture 18" descr="https://encrypted-tbn0.gstatic.com/images?q=tbn:ANd9GcRpACgLd8jc9mMpmOBYDsngj2r2twFKMT3vQbULcBcEbcvHhP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RpACgLd8jc9mMpmOBYDsngj2r2twFKMT3vQbULcBcEbcvHhP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74" cy="54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1655EA65" w14:textId="77777777" w:rsidR="002E3CEF" w:rsidRDefault="002E3CEF">
            <w:r>
              <w:t>Safety</w:t>
            </w:r>
          </w:p>
          <w:p w14:paraId="790DD0F9" w14:textId="77777777" w:rsidR="00BA6455" w:rsidRDefault="00BA6455"/>
          <w:p w14:paraId="2216C7B6" w14:textId="77777777" w:rsidR="00BA6455" w:rsidRDefault="00BA6455"/>
        </w:tc>
        <w:tc>
          <w:tcPr>
            <w:tcW w:w="4954" w:type="dxa"/>
          </w:tcPr>
          <w:p w14:paraId="5EF85048" w14:textId="77777777" w:rsidR="002E3CEF" w:rsidRDefault="0028376E">
            <w:r>
              <w:t>There is a step with potential of an Elevated Risk of injury where additional focus should be applied</w:t>
            </w:r>
          </w:p>
        </w:tc>
      </w:tr>
      <w:tr w:rsidR="002E3CEF" w14:paraId="70B6A362" w14:textId="77777777" w:rsidTr="002E3CEF">
        <w:tc>
          <w:tcPr>
            <w:tcW w:w="3341" w:type="dxa"/>
          </w:tcPr>
          <w:p w14:paraId="09B7272A" w14:textId="77777777" w:rsidR="002E3CEF" w:rsidRDefault="006F378E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723F6DB7" wp14:editId="0660F8CD">
                  <wp:extent cx="585216" cy="585216"/>
                  <wp:effectExtent l="0" t="0" r="5715" b="5715"/>
                  <wp:docPr id="16" name="Picture 16" descr="http://images.mysafetysign.com/img/lg/I/lock-out-iso-circle-sign-is-1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s.mysafetysign.com/img/lg/I/lock-out-iso-circle-sign-is-1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54" cy="58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52663246" w14:textId="77777777" w:rsidR="002E3CEF" w:rsidRDefault="002E3CEF">
            <w:r>
              <w:t>Isolation-Lock Out/Tag Out</w:t>
            </w:r>
          </w:p>
          <w:p w14:paraId="35A3943A" w14:textId="77777777" w:rsidR="00BA6455" w:rsidRDefault="00BA6455"/>
        </w:tc>
        <w:tc>
          <w:tcPr>
            <w:tcW w:w="4954" w:type="dxa"/>
          </w:tcPr>
          <w:p w14:paraId="5F7A4504" w14:textId="77777777" w:rsidR="002E3CEF" w:rsidRDefault="002E3CEF">
            <w:r>
              <w:t>Here is a requirement to apply or remove a Lock &amp; Tag</w:t>
            </w:r>
          </w:p>
        </w:tc>
      </w:tr>
      <w:tr w:rsidR="002E3CEF" w14:paraId="787408F3" w14:textId="77777777" w:rsidTr="002E3CEF">
        <w:tc>
          <w:tcPr>
            <w:tcW w:w="3341" w:type="dxa"/>
          </w:tcPr>
          <w:p w14:paraId="29A6ED40" w14:textId="77777777" w:rsidR="002E3CEF" w:rsidRDefault="00846F35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1357290" wp14:editId="0A78F0F5">
                  <wp:extent cx="1294791" cy="523096"/>
                  <wp:effectExtent l="0" t="0" r="635" b="0"/>
                  <wp:docPr id="11" name="Picture 11" descr="http://blog.emptylemon.co.uk/wp-content/uploads/2013/07/hazard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emptylemon.co.uk/wp-content/uploads/2013/07/hazard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09" cy="52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03E87377" w14:textId="77777777" w:rsidR="002E3CEF" w:rsidRDefault="002E3CEF">
            <w:r>
              <w:t>Alert/Caution</w:t>
            </w:r>
          </w:p>
        </w:tc>
        <w:tc>
          <w:tcPr>
            <w:tcW w:w="4954" w:type="dxa"/>
          </w:tcPr>
          <w:p w14:paraId="07A24D16" w14:textId="77777777" w:rsidR="002E3CEF" w:rsidRDefault="002E3CEF">
            <w:r>
              <w:t xml:space="preserve">There is a step with a potential of an elevated risk to process, production, plant where additional </w:t>
            </w:r>
            <w:r w:rsidR="0028376E">
              <w:t>focus</w:t>
            </w:r>
            <w:r>
              <w:t xml:space="preserve"> should be applied.</w:t>
            </w:r>
          </w:p>
        </w:tc>
      </w:tr>
      <w:tr w:rsidR="002E3CEF" w14:paraId="32769CAF" w14:textId="77777777" w:rsidTr="002E3CEF">
        <w:tc>
          <w:tcPr>
            <w:tcW w:w="3341" w:type="dxa"/>
          </w:tcPr>
          <w:p w14:paraId="168848D1" w14:textId="77777777" w:rsidR="002E3CEF" w:rsidRDefault="007B2C2C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CC09708" wp14:editId="636EF84D">
                  <wp:extent cx="577901" cy="683856"/>
                  <wp:effectExtent l="0" t="0" r="0" b="2540"/>
                  <wp:docPr id="14" name="Picture 14" descr="http://www.dfl.org/environment/wp-content/uploads/sites/125/2015/04/envi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fl.org/environment/wp-content/uploads/sites/125/2015/04/envi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64" cy="69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055E3B31" w14:textId="77777777" w:rsidR="002E3CEF" w:rsidRDefault="002E3CEF">
            <w:r>
              <w:t>Environmental</w:t>
            </w:r>
          </w:p>
          <w:p w14:paraId="0B11824C" w14:textId="77777777" w:rsidR="00BA6455" w:rsidRDefault="00BA6455"/>
          <w:p w14:paraId="39C059A1" w14:textId="77777777" w:rsidR="00BA6455" w:rsidRDefault="00BA6455"/>
        </w:tc>
        <w:tc>
          <w:tcPr>
            <w:tcW w:w="4954" w:type="dxa"/>
          </w:tcPr>
          <w:p w14:paraId="233B3BEC" w14:textId="77777777" w:rsidR="002E3CEF" w:rsidRDefault="002E3CEF">
            <w:r>
              <w:t xml:space="preserve">There is a step where the lack of a control of a situation may cause an </w:t>
            </w:r>
            <w:r w:rsidR="0028376E">
              <w:t>environmental</w:t>
            </w:r>
            <w:r>
              <w:t xml:space="preserve"> incident.</w:t>
            </w:r>
          </w:p>
        </w:tc>
      </w:tr>
      <w:tr w:rsidR="002E3CEF" w14:paraId="09286501" w14:textId="77777777" w:rsidTr="002E3CEF">
        <w:tc>
          <w:tcPr>
            <w:tcW w:w="3341" w:type="dxa"/>
          </w:tcPr>
          <w:p w14:paraId="0B65B826" w14:textId="77777777" w:rsidR="002E3CEF" w:rsidRDefault="00474D1D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3389F7B" wp14:editId="1E4AEEAD">
                  <wp:extent cx="541325" cy="542138"/>
                  <wp:effectExtent l="0" t="0" r="0" b="0"/>
                  <wp:docPr id="12" name="Picture 12" descr="http://www.wpclipart.com/page_frames/full_page_signs/stop_sign_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pclipart.com/page_frames/full_page_signs/stop_sign_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08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585643B9" w14:textId="77777777" w:rsidR="002E3CEF" w:rsidRDefault="002E3CEF" w:rsidP="002E3CEF">
            <w:r>
              <w:t>Stop &amp; Seek Out</w:t>
            </w:r>
          </w:p>
        </w:tc>
        <w:tc>
          <w:tcPr>
            <w:tcW w:w="4954" w:type="dxa"/>
          </w:tcPr>
          <w:p w14:paraId="0070F9B6" w14:textId="77777777" w:rsidR="002E3CEF" w:rsidRDefault="002E3CEF">
            <w:r>
              <w:t>A step that, if performed could cause significant harm if done incorrectly depending on the condition or equipment status.(OOPPPS)</w:t>
            </w:r>
          </w:p>
        </w:tc>
      </w:tr>
      <w:tr w:rsidR="002E3CEF" w14:paraId="0CA6DF96" w14:textId="77777777" w:rsidTr="002E3CEF">
        <w:tc>
          <w:tcPr>
            <w:tcW w:w="3341" w:type="dxa"/>
          </w:tcPr>
          <w:p w14:paraId="6DB79F71" w14:textId="77777777" w:rsidR="002E3CEF" w:rsidRDefault="00D8791F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BB33724" wp14:editId="6557472D">
                  <wp:extent cx="555955" cy="555955"/>
                  <wp:effectExtent l="0" t="0" r="0" b="0"/>
                  <wp:docPr id="17" name="Picture 17" descr="http://cdn2.hubspot.net/hub/72229/file-15355262-jpg/images/construction-inspection-hold-point-blog-image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2.hubspot.net/hub/72229/file-15355262-jpg/images/construction-inspection-hold-point-blog-image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21" cy="5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14:paraId="386CB3B7" w14:textId="77777777" w:rsidR="002E3CEF" w:rsidRDefault="002E3CEF" w:rsidP="002E3CEF">
            <w:r>
              <w:t>Hold Point</w:t>
            </w:r>
          </w:p>
        </w:tc>
        <w:tc>
          <w:tcPr>
            <w:tcW w:w="4954" w:type="dxa"/>
          </w:tcPr>
          <w:p w14:paraId="3D3746E0" w14:textId="77777777" w:rsidR="002E3CEF" w:rsidRDefault="002E3CEF">
            <w:r>
              <w:t xml:space="preserve">There is a Process where work needs to stop until a specific step has been </w:t>
            </w:r>
            <w:r w:rsidR="0028376E">
              <w:t>verified</w:t>
            </w:r>
            <w:r>
              <w:t xml:space="preserve"> or signed off, before proceeding to the </w:t>
            </w:r>
            <w:r w:rsidR="0028376E">
              <w:t>next</w:t>
            </w:r>
            <w:r>
              <w:t xml:space="preserve"> step.</w:t>
            </w:r>
          </w:p>
        </w:tc>
      </w:tr>
    </w:tbl>
    <w:p w14:paraId="78DC39A8" w14:textId="77777777" w:rsidR="00E63761" w:rsidRDefault="00E637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1"/>
      </w:tblGrid>
      <w:tr w:rsidR="002E3CEF" w14:paraId="23CE1310" w14:textId="77777777" w:rsidTr="002E3CEF">
        <w:tc>
          <w:tcPr>
            <w:tcW w:w="10024" w:type="dxa"/>
            <w:gridSpan w:val="2"/>
            <w:shd w:val="clear" w:color="auto" w:fill="C6D9F1" w:themeFill="text2" w:themeFillTint="33"/>
          </w:tcPr>
          <w:p w14:paraId="339CDCC4" w14:textId="77777777" w:rsidR="002E3CEF" w:rsidRPr="002E3CEF" w:rsidRDefault="00D8791F" w:rsidP="002E3CEF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2E3CEF" w:rsidRPr="002E3CEF">
              <w:rPr>
                <w:b/>
              </w:rPr>
              <w:t>Generic hazards and safety controls</w:t>
            </w:r>
          </w:p>
        </w:tc>
      </w:tr>
      <w:tr w:rsidR="002E3CEF" w14:paraId="0AAA5C28" w14:textId="77777777" w:rsidTr="002E3CEF">
        <w:tc>
          <w:tcPr>
            <w:tcW w:w="2943" w:type="dxa"/>
            <w:shd w:val="clear" w:color="auto" w:fill="C6D9F1" w:themeFill="text2" w:themeFillTint="33"/>
          </w:tcPr>
          <w:p w14:paraId="33BE07B5" w14:textId="77777777" w:rsidR="002E3CEF" w:rsidRPr="002E3CEF" w:rsidRDefault="002E3CEF" w:rsidP="002E3CEF">
            <w:pPr>
              <w:jc w:val="center"/>
              <w:rPr>
                <w:b/>
              </w:rPr>
            </w:pPr>
            <w:r w:rsidRPr="002E3CEF">
              <w:rPr>
                <w:b/>
              </w:rPr>
              <w:t>Hazard</w:t>
            </w:r>
          </w:p>
        </w:tc>
        <w:tc>
          <w:tcPr>
            <w:tcW w:w="7081" w:type="dxa"/>
            <w:shd w:val="clear" w:color="auto" w:fill="C6D9F1" w:themeFill="text2" w:themeFillTint="33"/>
          </w:tcPr>
          <w:p w14:paraId="1C3A7BC1" w14:textId="77777777" w:rsidR="002E3CEF" w:rsidRPr="002E3CEF" w:rsidRDefault="002E3CEF" w:rsidP="002E3CEF">
            <w:pPr>
              <w:jc w:val="center"/>
              <w:rPr>
                <w:b/>
              </w:rPr>
            </w:pPr>
            <w:r w:rsidRPr="002E3CEF">
              <w:rPr>
                <w:b/>
              </w:rPr>
              <w:t>Safety Control</w:t>
            </w:r>
          </w:p>
        </w:tc>
      </w:tr>
      <w:tr w:rsidR="002E3CEF" w14:paraId="157B315D" w14:textId="77777777" w:rsidTr="002E3CEF">
        <w:tc>
          <w:tcPr>
            <w:tcW w:w="2943" w:type="dxa"/>
          </w:tcPr>
          <w:p w14:paraId="449E111F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Pinch Points</w:t>
            </w:r>
          </w:p>
          <w:p w14:paraId="7F039AA4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Manual Handling</w:t>
            </w:r>
          </w:p>
          <w:p w14:paraId="48507140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Mobile Equipment</w:t>
            </w:r>
          </w:p>
          <w:p w14:paraId="51157ED6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Noise</w:t>
            </w:r>
          </w:p>
        </w:tc>
        <w:tc>
          <w:tcPr>
            <w:tcW w:w="7081" w:type="dxa"/>
          </w:tcPr>
          <w:p w14:paraId="40AFC8BC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 xml:space="preserve">Keep hand clear or </w:t>
            </w:r>
            <w:r w:rsidR="0028376E">
              <w:t>identified</w:t>
            </w:r>
            <w:r>
              <w:t xml:space="preserve"> pinch points when opening bonnet, doors, boot and whilst moving seats</w:t>
            </w:r>
          </w:p>
          <w:p w14:paraId="32B4AAD7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 xml:space="preserve">Handle equipment </w:t>
            </w:r>
            <w:r w:rsidR="0028376E">
              <w:t>with</w:t>
            </w:r>
            <w:r>
              <w:t xml:space="preserve"> care</w:t>
            </w:r>
          </w:p>
          <w:p w14:paraId="580ACC13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Barriers and signage used to designate work area to other mobile equipment in the area.</w:t>
            </w:r>
          </w:p>
          <w:p w14:paraId="3143EA2B" w14:textId="77777777"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 xml:space="preserve">Earplugs if working in noisy area or where signage is </w:t>
            </w:r>
            <w:r w:rsidR="0028376E">
              <w:t>present</w:t>
            </w:r>
          </w:p>
        </w:tc>
      </w:tr>
    </w:tbl>
    <w:p w14:paraId="32218A0A" w14:textId="77777777" w:rsidR="002E3CEF" w:rsidRDefault="002E3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105"/>
        <w:gridCol w:w="2176"/>
        <w:gridCol w:w="2721"/>
      </w:tblGrid>
      <w:tr w:rsidR="003514D1" w14:paraId="6EB5FED8" w14:textId="77777777" w:rsidTr="003514D1">
        <w:tc>
          <w:tcPr>
            <w:tcW w:w="1242" w:type="dxa"/>
            <w:shd w:val="clear" w:color="auto" w:fill="C2D69B" w:themeFill="accent3" w:themeFillTint="99"/>
          </w:tcPr>
          <w:p w14:paraId="4BB95F86" w14:textId="77777777" w:rsidR="003514D1" w:rsidRPr="003514D1" w:rsidRDefault="00E63761" w:rsidP="003514D1">
            <w:pPr>
              <w:jc w:val="center"/>
              <w:rPr>
                <w:b/>
              </w:rPr>
            </w:pPr>
            <w:r w:rsidRPr="00E63761">
              <w:rPr>
                <w:b/>
                <w:sz w:val="40"/>
              </w:rPr>
              <w:t>1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219272DF" w14:textId="77777777" w:rsidR="003514D1" w:rsidRPr="003514D1" w:rsidRDefault="003514D1" w:rsidP="003514D1">
            <w:pPr>
              <w:jc w:val="center"/>
              <w:rPr>
                <w:b/>
              </w:rPr>
            </w:pPr>
            <w:r w:rsidRPr="003514D1">
              <w:rPr>
                <w:b/>
              </w:rPr>
              <w:t>Steps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0A4D8AAA" w14:textId="77777777" w:rsidR="003514D1" w:rsidRPr="003514D1" w:rsidRDefault="003514D1" w:rsidP="003514D1">
            <w:pPr>
              <w:jc w:val="center"/>
              <w:rPr>
                <w:b/>
              </w:rPr>
            </w:pPr>
            <w:r w:rsidRPr="003514D1">
              <w:rPr>
                <w:b/>
              </w:rPr>
              <w:t>Hazard Controls</w:t>
            </w:r>
          </w:p>
        </w:tc>
        <w:tc>
          <w:tcPr>
            <w:tcW w:w="3537" w:type="dxa"/>
            <w:shd w:val="clear" w:color="auto" w:fill="C2D69B" w:themeFill="accent3" w:themeFillTint="99"/>
          </w:tcPr>
          <w:p w14:paraId="5BCD5155" w14:textId="77777777" w:rsidR="003514D1" w:rsidRPr="003514D1" w:rsidRDefault="00E716E1" w:rsidP="003514D1">
            <w:pPr>
              <w:jc w:val="center"/>
              <w:rPr>
                <w:b/>
              </w:rPr>
            </w:pPr>
            <w:r>
              <w:rPr>
                <w:b/>
              </w:rPr>
              <w:t>Additional Information / Place pictorial there</w:t>
            </w:r>
          </w:p>
        </w:tc>
      </w:tr>
      <w:tr w:rsidR="003514D1" w14:paraId="37050EDE" w14:textId="77777777" w:rsidTr="003514D1">
        <w:tc>
          <w:tcPr>
            <w:tcW w:w="1242" w:type="dxa"/>
          </w:tcPr>
          <w:p w14:paraId="56FEA3EC" w14:textId="77777777" w:rsidR="003514D1" w:rsidRDefault="00846F35">
            <w:r>
              <w:rPr>
                <w:noProof/>
                <w:lang w:eastAsia="en-AU"/>
              </w:rPr>
              <w:drawing>
                <wp:inline distT="0" distB="0" distL="0" distR="0" wp14:anchorId="60528727" wp14:editId="5917BC08">
                  <wp:extent cx="1782176" cy="720000"/>
                  <wp:effectExtent l="0" t="0" r="0" b="4445"/>
                  <wp:docPr id="9" name="Picture 9" descr="http://blog.emptylemon.co.uk/wp-content/uploads/2013/07/hazard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emptylemon.co.uk/wp-content/uploads/2013/07/hazard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7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1E36D87" w14:textId="77777777" w:rsidR="003514D1" w:rsidRDefault="0028376E">
            <w:r>
              <w:t>Initial</w:t>
            </w:r>
            <w:r w:rsidR="003514D1">
              <w:t xml:space="preserve"> Set up:</w:t>
            </w:r>
          </w:p>
          <w:p w14:paraId="0CED90E3" w14:textId="77777777" w:rsidR="003514D1" w:rsidRDefault="003514D1">
            <w:r>
              <w:t>Notify other users within work area</w:t>
            </w:r>
          </w:p>
        </w:tc>
        <w:tc>
          <w:tcPr>
            <w:tcW w:w="2410" w:type="dxa"/>
          </w:tcPr>
          <w:p w14:paraId="10DC1AD4" w14:textId="77777777" w:rsidR="003514D1" w:rsidRDefault="003514D1">
            <w:r>
              <w:t xml:space="preserve">Pedestrian/Vehicle </w:t>
            </w:r>
            <w:r w:rsidR="0028376E">
              <w:t>interface</w:t>
            </w:r>
          </w:p>
        </w:tc>
        <w:tc>
          <w:tcPr>
            <w:tcW w:w="3537" w:type="dxa"/>
          </w:tcPr>
          <w:p w14:paraId="66FDF0A0" w14:textId="77777777" w:rsidR="003514D1" w:rsidRDefault="003514D1">
            <w:r>
              <w:t xml:space="preserve">Communicate with other user’s </w:t>
            </w:r>
            <w:r w:rsidR="0028376E">
              <w:t>requiring</w:t>
            </w:r>
            <w:r>
              <w:t xml:space="preserve"> access within area. Restrict area with signage &amp; bunting</w:t>
            </w:r>
          </w:p>
        </w:tc>
      </w:tr>
      <w:tr w:rsidR="003514D1" w14:paraId="0E3B773F" w14:textId="77777777" w:rsidTr="003514D1">
        <w:tc>
          <w:tcPr>
            <w:tcW w:w="1242" w:type="dxa"/>
          </w:tcPr>
          <w:p w14:paraId="5818299F" w14:textId="77777777" w:rsidR="003514D1" w:rsidRDefault="00846F35">
            <w:r>
              <w:rPr>
                <w:noProof/>
                <w:lang w:eastAsia="en-AU"/>
              </w:rPr>
              <w:drawing>
                <wp:inline distT="0" distB="0" distL="0" distR="0" wp14:anchorId="7E956913" wp14:editId="44ED0CDE">
                  <wp:extent cx="1782176" cy="720000"/>
                  <wp:effectExtent l="0" t="0" r="0" b="4445"/>
                  <wp:docPr id="10" name="Picture 10" descr="http://blog.emptylemon.co.uk/wp-content/uploads/2013/07/hazard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emptylemon.co.uk/wp-content/uploads/2013/07/hazard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7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201A3D6" w14:textId="77777777" w:rsidR="003514D1" w:rsidRDefault="003514D1" w:rsidP="003514D1">
            <w:r>
              <w:t>Vehicle movements</w:t>
            </w:r>
          </w:p>
        </w:tc>
        <w:tc>
          <w:tcPr>
            <w:tcW w:w="2410" w:type="dxa"/>
          </w:tcPr>
          <w:p w14:paraId="03F711E0" w14:textId="77777777" w:rsidR="003514D1" w:rsidRDefault="003514D1">
            <w:r>
              <w:t xml:space="preserve">Pedestrian/Vehicle </w:t>
            </w:r>
            <w:r w:rsidR="0028376E">
              <w:t>interface</w:t>
            </w:r>
          </w:p>
        </w:tc>
        <w:tc>
          <w:tcPr>
            <w:tcW w:w="3537" w:type="dxa"/>
          </w:tcPr>
          <w:p w14:paraId="38757CA4" w14:textId="77777777" w:rsidR="003514D1" w:rsidRDefault="003514D1">
            <w:r>
              <w:t>Observe site requirements, all unrequired persons observe a 4 meter exclusion zone from moving vehicles.  Use a spotter when parking/reversing vehicle.</w:t>
            </w:r>
          </w:p>
        </w:tc>
      </w:tr>
      <w:tr w:rsidR="003514D1" w14:paraId="49860F37" w14:textId="77777777" w:rsidTr="003514D1">
        <w:tc>
          <w:tcPr>
            <w:tcW w:w="1242" w:type="dxa"/>
          </w:tcPr>
          <w:p w14:paraId="1A5A734C" w14:textId="77777777" w:rsidR="003514D1" w:rsidRDefault="00E63761" w:rsidP="00E63761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5136A01" wp14:editId="64D67B88">
                  <wp:extent cx="1024128" cy="1024128"/>
                  <wp:effectExtent l="0" t="0" r="5080" b="5080"/>
                  <wp:docPr id="19" name="Picture 19" descr="https://encrypted-tbn0.gstatic.com/images?q=tbn:ANd9GcRpACgLd8jc9mMpmOBYDsngj2r2twFKMT3vQbULcBcEbcvHhP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RpACgLd8jc9mMpmOBYDsngj2r2twFKMT3vQbULcBcEbcvHhP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71" cy="102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05E20F" w14:textId="77777777" w:rsidR="003514D1" w:rsidRDefault="003514D1" w:rsidP="003514D1">
            <w:r>
              <w:t>Internal cleaning of vehicle</w:t>
            </w:r>
          </w:p>
        </w:tc>
        <w:tc>
          <w:tcPr>
            <w:tcW w:w="2410" w:type="dxa"/>
          </w:tcPr>
          <w:p w14:paraId="4BBE1CCF" w14:textId="77777777" w:rsidR="003514D1" w:rsidRDefault="0028376E">
            <w:r>
              <w:t>Dust</w:t>
            </w:r>
            <w:r w:rsidR="003514D1">
              <w:t>, chemical reactions.</w:t>
            </w:r>
          </w:p>
          <w:p w14:paraId="5764165A" w14:textId="77777777" w:rsidR="003514D1" w:rsidRDefault="003514D1">
            <w:r>
              <w:t>Use of vacuum cleaner</w:t>
            </w:r>
          </w:p>
        </w:tc>
        <w:tc>
          <w:tcPr>
            <w:tcW w:w="3537" w:type="dxa"/>
          </w:tcPr>
          <w:p w14:paraId="35BA5CC7" w14:textId="77777777" w:rsidR="003514D1" w:rsidRDefault="003514D1">
            <w:r>
              <w:t xml:space="preserve">Assess prior to cleaning &amp; remove any unrequired items gloves, safety glasses, </w:t>
            </w:r>
            <w:r w:rsidR="0028376E">
              <w:t>and SDS</w:t>
            </w:r>
            <w:r>
              <w:t xml:space="preserve"> approved chemicals only. Ensure vacuum cleaner test tag is date. Do not run </w:t>
            </w:r>
            <w:r w:rsidR="0028376E">
              <w:t>power</w:t>
            </w:r>
            <w:r>
              <w:t xml:space="preserve"> cord in wet areas.</w:t>
            </w:r>
          </w:p>
        </w:tc>
      </w:tr>
      <w:tr w:rsidR="003514D1" w14:paraId="49CF0A8F" w14:textId="77777777" w:rsidTr="003514D1">
        <w:tc>
          <w:tcPr>
            <w:tcW w:w="1242" w:type="dxa"/>
          </w:tcPr>
          <w:p w14:paraId="3702916A" w14:textId="77777777" w:rsidR="003514D1" w:rsidRDefault="00E63761" w:rsidP="00E63761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34E0213" wp14:editId="32B25B6F">
                  <wp:extent cx="834543" cy="987552"/>
                  <wp:effectExtent l="0" t="0" r="3810" b="3175"/>
                  <wp:docPr id="20" name="Picture 20" descr="http://www.dfl.org/environment/wp-content/uploads/sites/125/2015/04/envi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fl.org/environment/wp-content/uploads/sites/125/2015/04/envi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97" cy="100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8916094" w14:textId="77777777" w:rsidR="003514D1" w:rsidRDefault="003514D1" w:rsidP="003514D1">
            <w:r>
              <w:t>External cleaning of vehicle</w:t>
            </w:r>
          </w:p>
        </w:tc>
        <w:tc>
          <w:tcPr>
            <w:tcW w:w="2410" w:type="dxa"/>
          </w:tcPr>
          <w:p w14:paraId="7C32FC22" w14:textId="77777777" w:rsidR="003514D1" w:rsidRDefault="003514D1">
            <w:r>
              <w:t xml:space="preserve">Chemical reactions </w:t>
            </w:r>
            <w:r w:rsidR="0028376E">
              <w:t>environment</w:t>
            </w:r>
            <w:r>
              <w:t xml:space="preserve"> spill, slips</w:t>
            </w:r>
          </w:p>
        </w:tc>
        <w:tc>
          <w:tcPr>
            <w:tcW w:w="3537" w:type="dxa"/>
          </w:tcPr>
          <w:p w14:paraId="4AFF939F" w14:textId="77777777" w:rsidR="003514D1" w:rsidRDefault="003514D1">
            <w:r>
              <w:t>PPE: gloves non slip footwear.  Restrict chemicals to required amounts only, follow SDS and use only site approved products.</w:t>
            </w:r>
          </w:p>
        </w:tc>
      </w:tr>
    </w:tbl>
    <w:p w14:paraId="26D4FAF3" w14:textId="77777777" w:rsidR="003514D1" w:rsidRDefault="003514D1"/>
    <w:p w14:paraId="53ABFE70" w14:textId="77777777" w:rsidR="00E63761" w:rsidRDefault="00E63761">
      <w:r>
        <w:br w:type="page"/>
      </w:r>
    </w:p>
    <w:p w14:paraId="084CF771" w14:textId="77777777" w:rsidR="00BA6455" w:rsidRDefault="00BA6455">
      <w:r>
        <w:lastRenderedPageBreak/>
        <w:t>PA to carry out before taking vehicle to Windward: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2828"/>
      </w:tblGrid>
      <w:tr w:rsidR="00BA6455" w:rsidRPr="003514D1" w14:paraId="2195403D" w14:textId="77777777" w:rsidTr="00E63761">
        <w:tc>
          <w:tcPr>
            <w:tcW w:w="817" w:type="dxa"/>
            <w:shd w:val="clear" w:color="auto" w:fill="C2D69B" w:themeFill="accent3" w:themeFillTint="99"/>
          </w:tcPr>
          <w:p w14:paraId="0BBD5AFC" w14:textId="77777777" w:rsidR="00BA6455" w:rsidRPr="003514D1" w:rsidRDefault="00BA6455" w:rsidP="00896FB9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14:paraId="7A581A1C" w14:textId="77777777" w:rsidR="00BA6455" w:rsidRPr="003514D1" w:rsidRDefault="00BA6455" w:rsidP="00896FB9">
            <w:pPr>
              <w:jc w:val="center"/>
              <w:rPr>
                <w:b/>
              </w:rPr>
            </w:pPr>
            <w:r w:rsidRPr="003514D1">
              <w:rPr>
                <w:b/>
              </w:rPr>
              <w:t>Steps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20EE9697" w14:textId="77777777" w:rsidR="00BA6455" w:rsidRPr="003514D1" w:rsidRDefault="00BA6455" w:rsidP="00896FB9">
            <w:pPr>
              <w:jc w:val="center"/>
              <w:rPr>
                <w:b/>
              </w:rPr>
            </w:pPr>
            <w:r w:rsidRPr="003514D1">
              <w:rPr>
                <w:b/>
              </w:rPr>
              <w:t>Hazard Controls</w:t>
            </w:r>
          </w:p>
        </w:tc>
        <w:tc>
          <w:tcPr>
            <w:tcW w:w="2828" w:type="dxa"/>
            <w:shd w:val="clear" w:color="auto" w:fill="C2D69B" w:themeFill="accent3" w:themeFillTint="99"/>
          </w:tcPr>
          <w:p w14:paraId="7C13E06A" w14:textId="77777777" w:rsidR="00BA6455" w:rsidRPr="003514D1" w:rsidRDefault="00E716E1" w:rsidP="00896FB9">
            <w:pPr>
              <w:jc w:val="center"/>
              <w:rPr>
                <w:b/>
              </w:rPr>
            </w:pPr>
            <w:r>
              <w:rPr>
                <w:b/>
              </w:rPr>
              <w:t>Additional Information / Place pictorial there</w:t>
            </w:r>
          </w:p>
        </w:tc>
      </w:tr>
      <w:tr w:rsidR="00BA6455" w14:paraId="1A5E2E0B" w14:textId="77777777" w:rsidTr="00E63761">
        <w:tc>
          <w:tcPr>
            <w:tcW w:w="817" w:type="dxa"/>
          </w:tcPr>
          <w:p w14:paraId="75CE3634" w14:textId="77777777" w:rsidR="00BA6455" w:rsidRPr="00E63761" w:rsidRDefault="00BA6455" w:rsidP="00896FB9">
            <w:pPr>
              <w:rPr>
                <w:b/>
                <w:sz w:val="40"/>
              </w:rPr>
            </w:pPr>
          </w:p>
          <w:p w14:paraId="03026520" w14:textId="77777777" w:rsidR="00D02F04" w:rsidRPr="00E63761" w:rsidRDefault="00D02F04" w:rsidP="00D02F04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2</w:t>
            </w:r>
          </w:p>
        </w:tc>
        <w:tc>
          <w:tcPr>
            <w:tcW w:w="3544" w:type="dxa"/>
          </w:tcPr>
          <w:p w14:paraId="0DEE3666" w14:textId="77777777" w:rsidR="00BA6455" w:rsidRDefault="00BA6455" w:rsidP="00D02F04">
            <w:pPr>
              <w:pStyle w:val="ListParagraph"/>
              <w:numPr>
                <w:ilvl w:val="0"/>
                <w:numId w:val="3"/>
              </w:numPr>
              <w:ind w:left="176" w:hanging="176"/>
            </w:pPr>
            <w:r>
              <w:t>Contact Windward to arrange a spotter for when reversing vehicle into position</w:t>
            </w:r>
          </w:p>
          <w:p w14:paraId="06A99C43" w14:textId="77777777" w:rsidR="00BA6455" w:rsidRDefault="00BA6455" w:rsidP="00D02F04">
            <w:pPr>
              <w:pStyle w:val="ListParagraph"/>
              <w:numPr>
                <w:ilvl w:val="0"/>
                <w:numId w:val="3"/>
              </w:numPr>
              <w:ind w:left="176" w:hanging="176"/>
            </w:pPr>
            <w:r>
              <w:t xml:space="preserve">Before driving vehicle ensure the daily </w:t>
            </w:r>
            <w:r w:rsidR="0028376E">
              <w:t>vehicle</w:t>
            </w:r>
            <w:r>
              <w:t xml:space="preserve"> check has been completed</w:t>
            </w:r>
          </w:p>
          <w:p w14:paraId="33DC591C" w14:textId="77777777" w:rsidR="00BA6455" w:rsidRDefault="00BA6455" w:rsidP="00D02F04">
            <w:pPr>
              <w:pStyle w:val="ListParagraph"/>
              <w:numPr>
                <w:ilvl w:val="0"/>
                <w:numId w:val="3"/>
              </w:numPr>
              <w:ind w:left="176" w:hanging="176"/>
            </w:pPr>
            <w:r>
              <w:t xml:space="preserve">Drive the Fleet </w:t>
            </w:r>
            <w:r w:rsidR="0028376E">
              <w:t>Vehicle</w:t>
            </w:r>
            <w:r>
              <w:t xml:space="preserve"> through the car park car wash to remove surface dust</w:t>
            </w:r>
          </w:p>
          <w:p w14:paraId="27534570" w14:textId="77777777" w:rsidR="00D02F04" w:rsidRDefault="00D02F04" w:rsidP="00D02F04">
            <w:pPr>
              <w:pStyle w:val="ListParagraph"/>
              <w:numPr>
                <w:ilvl w:val="0"/>
                <w:numId w:val="3"/>
              </w:numPr>
              <w:ind w:left="176" w:hanging="176"/>
            </w:pPr>
            <w:r>
              <w:t xml:space="preserve">Position </w:t>
            </w:r>
            <w:r w:rsidR="0028376E">
              <w:t>vehicle</w:t>
            </w:r>
            <w:r>
              <w:t xml:space="preserve"> as shown and bunt off area</w:t>
            </w:r>
          </w:p>
        </w:tc>
        <w:tc>
          <w:tcPr>
            <w:tcW w:w="2835" w:type="dxa"/>
          </w:tcPr>
          <w:p w14:paraId="409BB15B" w14:textId="77777777" w:rsidR="00BA6455" w:rsidRDefault="00D02F04" w:rsidP="00896FB9">
            <w:r>
              <w:t xml:space="preserve">Pedestrian/Vehicle interface – Spotter to be used whilst reversing </w:t>
            </w:r>
            <w:r w:rsidR="0028376E">
              <w:t>vehicle</w:t>
            </w:r>
            <w:r>
              <w:t xml:space="preserve"> into position</w:t>
            </w:r>
          </w:p>
        </w:tc>
        <w:tc>
          <w:tcPr>
            <w:tcW w:w="2828" w:type="dxa"/>
          </w:tcPr>
          <w:p w14:paraId="2FEFB777" w14:textId="77777777" w:rsidR="00BA6455" w:rsidRDefault="00BA6455" w:rsidP="00896FB9"/>
        </w:tc>
      </w:tr>
      <w:tr w:rsidR="00BA6455" w14:paraId="04E9B81A" w14:textId="77777777" w:rsidTr="00E63761">
        <w:tc>
          <w:tcPr>
            <w:tcW w:w="817" w:type="dxa"/>
          </w:tcPr>
          <w:p w14:paraId="2A191F5C" w14:textId="77777777" w:rsidR="00BA6455" w:rsidRPr="00E63761" w:rsidRDefault="00BA6455" w:rsidP="00896FB9">
            <w:pPr>
              <w:rPr>
                <w:b/>
                <w:sz w:val="40"/>
              </w:rPr>
            </w:pPr>
          </w:p>
          <w:p w14:paraId="20D4CB37" w14:textId="77777777" w:rsidR="00D02F04" w:rsidRPr="00E63761" w:rsidRDefault="00D02F04" w:rsidP="00D02F04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3</w:t>
            </w:r>
          </w:p>
        </w:tc>
        <w:tc>
          <w:tcPr>
            <w:tcW w:w="3544" w:type="dxa"/>
          </w:tcPr>
          <w:p w14:paraId="1E84B8B3" w14:textId="77777777" w:rsidR="00BA6455" w:rsidRDefault="00D02F04" w:rsidP="00896FB9">
            <w:r>
              <w:t>External Clean</w:t>
            </w:r>
          </w:p>
          <w:p w14:paraId="64AE7BF3" w14:textId="77777777" w:rsidR="00D02F04" w:rsidRDefault="00D02F04" w:rsidP="00792C2B">
            <w:pPr>
              <w:pStyle w:val="ListParagraph"/>
              <w:numPr>
                <w:ilvl w:val="0"/>
                <w:numId w:val="4"/>
              </w:numPr>
              <w:ind w:left="176" w:hanging="142"/>
            </w:pPr>
            <w:r>
              <w:t xml:space="preserve">Dilute truck was or detergent in </w:t>
            </w:r>
            <w:r w:rsidR="0028376E">
              <w:t>bucket</w:t>
            </w:r>
            <w:r>
              <w:t xml:space="preserve"> with water according to manufacturer’s </w:t>
            </w:r>
            <w:r w:rsidR="0028376E">
              <w:t>instruction</w:t>
            </w:r>
          </w:p>
          <w:p w14:paraId="14D5F9B7" w14:textId="77777777" w:rsidR="00D02F04" w:rsidRDefault="00D02F04" w:rsidP="00792C2B">
            <w:pPr>
              <w:pStyle w:val="ListParagraph"/>
              <w:numPr>
                <w:ilvl w:val="0"/>
                <w:numId w:val="4"/>
              </w:numPr>
              <w:ind w:left="176" w:hanging="142"/>
            </w:pPr>
            <w:r>
              <w:t xml:space="preserve">Wash the vehicles using a </w:t>
            </w:r>
            <w:r w:rsidR="0028376E">
              <w:t>sponge or</w:t>
            </w:r>
            <w:r>
              <w:t xml:space="preserve"> soft broom and rinse off</w:t>
            </w:r>
            <w:r w:rsidR="00792C2B">
              <w:t>.</w:t>
            </w:r>
          </w:p>
          <w:p w14:paraId="6FD98C30" w14:textId="77777777" w:rsidR="00792C2B" w:rsidRDefault="00792C2B" w:rsidP="00792C2B">
            <w:pPr>
              <w:pStyle w:val="ListParagraph"/>
              <w:numPr>
                <w:ilvl w:val="0"/>
                <w:numId w:val="4"/>
              </w:numPr>
              <w:ind w:left="176" w:hanging="142"/>
            </w:pPr>
            <w:r>
              <w:t>Dry excess water with a soft cloth.</w:t>
            </w:r>
          </w:p>
          <w:p w14:paraId="07E3FBD0" w14:textId="77777777" w:rsidR="00792C2B" w:rsidRDefault="00792C2B" w:rsidP="00792C2B">
            <w:pPr>
              <w:pStyle w:val="ListParagraph"/>
              <w:numPr>
                <w:ilvl w:val="0"/>
                <w:numId w:val="4"/>
              </w:numPr>
              <w:ind w:left="176" w:hanging="142"/>
            </w:pPr>
            <w:r>
              <w:t xml:space="preserve">Clean the windows with </w:t>
            </w:r>
            <w:r w:rsidR="0028376E">
              <w:t>Windex</w:t>
            </w:r>
            <w:r>
              <w:t xml:space="preserve"> according to manufacturer instructions.</w:t>
            </w:r>
          </w:p>
        </w:tc>
        <w:tc>
          <w:tcPr>
            <w:tcW w:w="2835" w:type="dxa"/>
          </w:tcPr>
          <w:p w14:paraId="503FFD1B" w14:textId="77777777" w:rsidR="00190E5B" w:rsidRDefault="00190E5B" w:rsidP="00896FB9"/>
          <w:p w14:paraId="41DDC488" w14:textId="77777777" w:rsidR="00BA6455" w:rsidRDefault="00792C2B" w:rsidP="00896FB9">
            <w:r>
              <w:t>Chemical hazards – refer to SDS</w:t>
            </w:r>
          </w:p>
          <w:p w14:paraId="73C9796F" w14:textId="77777777" w:rsidR="00792C2B" w:rsidRDefault="00792C2B" w:rsidP="00896FB9"/>
          <w:p w14:paraId="134483F9" w14:textId="77777777" w:rsidR="00792C2B" w:rsidRDefault="00792C2B" w:rsidP="00896FB9"/>
          <w:p w14:paraId="4687A99E" w14:textId="77777777" w:rsidR="00792C2B" w:rsidRDefault="00792C2B" w:rsidP="00896FB9">
            <w:r>
              <w:t xml:space="preserve">Pinch points – hands to be clear of pinch point associated with opening/closing </w:t>
            </w:r>
            <w:r w:rsidR="0028376E">
              <w:t>bonnet</w:t>
            </w:r>
            <w:r>
              <w:t>, doors and boot.</w:t>
            </w:r>
          </w:p>
        </w:tc>
        <w:tc>
          <w:tcPr>
            <w:tcW w:w="2828" w:type="dxa"/>
          </w:tcPr>
          <w:p w14:paraId="5D82FB26" w14:textId="77777777" w:rsidR="00BA6455" w:rsidRDefault="00BA6455" w:rsidP="00896FB9"/>
        </w:tc>
      </w:tr>
      <w:tr w:rsidR="00190E5B" w14:paraId="78F5015A" w14:textId="77777777" w:rsidTr="00E63761">
        <w:tc>
          <w:tcPr>
            <w:tcW w:w="817" w:type="dxa"/>
          </w:tcPr>
          <w:p w14:paraId="15486203" w14:textId="77777777" w:rsidR="00190E5B" w:rsidRPr="00E63761" w:rsidRDefault="00190E5B" w:rsidP="00896FB9">
            <w:pPr>
              <w:rPr>
                <w:b/>
                <w:sz w:val="40"/>
              </w:rPr>
            </w:pPr>
          </w:p>
          <w:p w14:paraId="14E4D925" w14:textId="77777777" w:rsidR="00190E5B" w:rsidRPr="00E63761" w:rsidRDefault="00190E5B" w:rsidP="00190E5B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4</w:t>
            </w:r>
          </w:p>
        </w:tc>
        <w:tc>
          <w:tcPr>
            <w:tcW w:w="3544" w:type="dxa"/>
          </w:tcPr>
          <w:p w14:paraId="2A6B21EE" w14:textId="77777777" w:rsidR="00190E5B" w:rsidRDefault="00190E5B" w:rsidP="00896FB9">
            <w:r>
              <w:t>Internal Clean</w:t>
            </w:r>
          </w:p>
          <w:p w14:paraId="6B0177DB" w14:textId="77777777" w:rsidR="00190E5B" w:rsidRDefault="00190E5B" w:rsidP="008A5B7B">
            <w:pPr>
              <w:pStyle w:val="ListParagraph"/>
              <w:numPr>
                <w:ilvl w:val="0"/>
                <w:numId w:val="5"/>
              </w:numPr>
              <w:ind w:left="176" w:hanging="142"/>
            </w:pPr>
            <w:r>
              <w:t xml:space="preserve">Remove all rubbish from the inside of the vehicle (including pockets, </w:t>
            </w:r>
            <w:r w:rsidR="0028376E">
              <w:t>console</w:t>
            </w:r>
            <w:r>
              <w:t xml:space="preserve"> and under seats)</w:t>
            </w:r>
          </w:p>
          <w:p w14:paraId="326008F1" w14:textId="77777777" w:rsidR="00190E5B" w:rsidRDefault="00190E5B" w:rsidP="008A5B7B">
            <w:pPr>
              <w:pStyle w:val="ListParagraph"/>
              <w:numPr>
                <w:ilvl w:val="0"/>
                <w:numId w:val="5"/>
              </w:numPr>
              <w:ind w:left="176" w:hanging="142"/>
            </w:pPr>
            <w:r>
              <w:t>Remove car mats from inside the vehicle and vacuum.</w:t>
            </w:r>
          </w:p>
          <w:p w14:paraId="2943CD1C" w14:textId="77777777" w:rsidR="00190E5B" w:rsidRDefault="00190E5B" w:rsidP="008A5B7B">
            <w:pPr>
              <w:pStyle w:val="ListParagraph"/>
              <w:numPr>
                <w:ilvl w:val="0"/>
                <w:numId w:val="5"/>
              </w:numPr>
              <w:ind w:left="176" w:hanging="142"/>
            </w:pPr>
            <w:r>
              <w:t>Vacuum all applicable areas (including floors, seats, inside pockets and under seats).</w:t>
            </w:r>
          </w:p>
          <w:p w14:paraId="2920708F" w14:textId="77777777" w:rsidR="00190E5B" w:rsidRDefault="00190E5B" w:rsidP="008A5B7B">
            <w:pPr>
              <w:pStyle w:val="ListParagraph"/>
              <w:numPr>
                <w:ilvl w:val="0"/>
                <w:numId w:val="5"/>
              </w:numPr>
              <w:ind w:left="176" w:hanging="142"/>
            </w:pPr>
            <w:r>
              <w:t xml:space="preserve">Clean the windows with </w:t>
            </w:r>
            <w:r w:rsidR="0028376E">
              <w:t>Windex</w:t>
            </w:r>
            <w:r>
              <w:t xml:space="preserve"> according to manufacturer instructions.</w:t>
            </w:r>
          </w:p>
          <w:p w14:paraId="5C8AD911" w14:textId="77777777" w:rsidR="00190E5B" w:rsidRDefault="00190E5B" w:rsidP="008A5B7B">
            <w:pPr>
              <w:pStyle w:val="ListParagraph"/>
              <w:numPr>
                <w:ilvl w:val="0"/>
                <w:numId w:val="5"/>
              </w:numPr>
              <w:ind w:left="176" w:hanging="142"/>
            </w:pPr>
            <w:r>
              <w:t xml:space="preserve">Amor </w:t>
            </w:r>
            <w:r w:rsidR="0028376E">
              <w:t>All</w:t>
            </w:r>
            <w:r>
              <w:t xml:space="preserve"> Protectant to be used to clean rubber, vinyl or plastic inside the vehicle.</w:t>
            </w:r>
          </w:p>
        </w:tc>
        <w:tc>
          <w:tcPr>
            <w:tcW w:w="2835" w:type="dxa"/>
          </w:tcPr>
          <w:p w14:paraId="55B64714" w14:textId="77777777" w:rsidR="00190E5B" w:rsidRDefault="008A5B7B" w:rsidP="00896FB9">
            <w:r>
              <w:t xml:space="preserve">Sharp objects – inspect inside of pockets, </w:t>
            </w:r>
            <w:r w:rsidR="0028376E">
              <w:t>consoles</w:t>
            </w:r>
            <w:r>
              <w:t xml:space="preserve"> and under seats to ensure no sharp objects present.</w:t>
            </w:r>
          </w:p>
          <w:p w14:paraId="4CD1A54E" w14:textId="77777777" w:rsidR="008A5B7B" w:rsidRDefault="008A5B7B" w:rsidP="00896FB9">
            <w:r>
              <w:t>Ergonomic Positioning – move seats as far back to allow easy access to front of vehicle.  For back seats, moving front seats as far forward to allow easy access.</w:t>
            </w:r>
          </w:p>
          <w:p w14:paraId="21BF6F6A" w14:textId="77777777" w:rsidR="008A5B7B" w:rsidRDefault="008A5B7B" w:rsidP="00896FB9"/>
          <w:p w14:paraId="4821F353" w14:textId="77777777" w:rsidR="008A5B7B" w:rsidRDefault="008A5B7B" w:rsidP="00896FB9">
            <w:r>
              <w:t>Pinch points – hands to be clear of pinch point associated with opening/closing, doors boot and when moving seats.</w:t>
            </w:r>
          </w:p>
          <w:p w14:paraId="59808B5F" w14:textId="77777777" w:rsidR="008A5B7B" w:rsidRDefault="008A5B7B" w:rsidP="00896FB9"/>
          <w:p w14:paraId="336F9BA5" w14:textId="77777777" w:rsidR="008A5B7B" w:rsidRDefault="008A5B7B" w:rsidP="00896FB9">
            <w:r>
              <w:t>Chemical hazards – refer to SDS</w:t>
            </w:r>
          </w:p>
        </w:tc>
        <w:tc>
          <w:tcPr>
            <w:tcW w:w="2828" w:type="dxa"/>
          </w:tcPr>
          <w:p w14:paraId="5BB2E481" w14:textId="77777777" w:rsidR="00190E5B" w:rsidRDefault="00190E5B" w:rsidP="00896FB9"/>
        </w:tc>
      </w:tr>
      <w:tr w:rsidR="000C532A" w14:paraId="7B6FABD2" w14:textId="77777777" w:rsidTr="00E63761">
        <w:tc>
          <w:tcPr>
            <w:tcW w:w="817" w:type="dxa"/>
          </w:tcPr>
          <w:p w14:paraId="6A41C763" w14:textId="77777777" w:rsidR="000C532A" w:rsidRPr="00E63761" w:rsidRDefault="000C532A" w:rsidP="00896FB9">
            <w:pPr>
              <w:rPr>
                <w:b/>
                <w:sz w:val="40"/>
              </w:rPr>
            </w:pPr>
          </w:p>
          <w:p w14:paraId="788B1E2B" w14:textId="77777777" w:rsidR="000C532A" w:rsidRPr="00E63761" w:rsidRDefault="000C532A" w:rsidP="000C532A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5</w:t>
            </w:r>
          </w:p>
        </w:tc>
        <w:tc>
          <w:tcPr>
            <w:tcW w:w="3544" w:type="dxa"/>
          </w:tcPr>
          <w:p w14:paraId="0C114578" w14:textId="77777777" w:rsidR="000C532A" w:rsidRDefault="000C532A" w:rsidP="00896FB9">
            <w:r>
              <w:t>Return the Vehicle</w:t>
            </w:r>
          </w:p>
          <w:p w14:paraId="0DA2CB2A" w14:textId="77777777" w:rsidR="000C532A" w:rsidRDefault="000C532A" w:rsidP="000C532A">
            <w:pPr>
              <w:pStyle w:val="ListParagraph"/>
              <w:numPr>
                <w:ilvl w:val="0"/>
                <w:numId w:val="6"/>
              </w:numPr>
              <w:ind w:left="176" w:hanging="142"/>
            </w:pPr>
            <w:r>
              <w:t>On completion of cleaning the vehicle, advise plant protection that the vehicle is ready to be picked up.</w:t>
            </w:r>
          </w:p>
          <w:p w14:paraId="3958B112" w14:textId="77777777" w:rsidR="000C532A" w:rsidRDefault="000C532A" w:rsidP="000C532A">
            <w:pPr>
              <w:pStyle w:val="ListParagraph"/>
              <w:numPr>
                <w:ilvl w:val="0"/>
                <w:numId w:val="6"/>
              </w:numPr>
              <w:ind w:left="176" w:hanging="176"/>
            </w:pPr>
            <w:r>
              <w:t xml:space="preserve">Spotter to be </w:t>
            </w:r>
            <w:r w:rsidR="0028376E">
              <w:t>present</w:t>
            </w:r>
            <w:r>
              <w:t xml:space="preserve"> whilst car is being driven down the walkway.</w:t>
            </w:r>
          </w:p>
        </w:tc>
        <w:tc>
          <w:tcPr>
            <w:tcW w:w="2835" w:type="dxa"/>
          </w:tcPr>
          <w:p w14:paraId="1A8DDCD4" w14:textId="77777777" w:rsidR="000C532A" w:rsidRDefault="000C532A" w:rsidP="00896FB9"/>
          <w:p w14:paraId="4F5D69F6" w14:textId="77777777" w:rsidR="000C532A" w:rsidRDefault="000C532A" w:rsidP="00896FB9">
            <w:r>
              <w:t xml:space="preserve">Vehicle/Pedestrian interface – spotter to be </w:t>
            </w:r>
            <w:r w:rsidR="0028376E">
              <w:t>present</w:t>
            </w:r>
            <w:r>
              <w:t xml:space="preserve"> whilst </w:t>
            </w:r>
            <w:r w:rsidR="0028376E">
              <w:t>vehicle</w:t>
            </w:r>
            <w:r>
              <w:t xml:space="preserve"> is moving down walkway</w:t>
            </w:r>
          </w:p>
        </w:tc>
        <w:tc>
          <w:tcPr>
            <w:tcW w:w="2828" w:type="dxa"/>
          </w:tcPr>
          <w:p w14:paraId="4DB6DE01" w14:textId="77777777" w:rsidR="000C532A" w:rsidRDefault="000C532A" w:rsidP="00896FB9"/>
        </w:tc>
      </w:tr>
    </w:tbl>
    <w:p w14:paraId="061F80DE" w14:textId="77777777" w:rsidR="00BA6455" w:rsidRDefault="00BA6455" w:rsidP="00E63761"/>
    <w:sectPr w:rsidR="00BA6455" w:rsidSect="00BC3D34">
      <w:headerReference w:type="default" r:id="rId17"/>
      <w:footerReference w:type="default" r:id="rId18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4386" w14:textId="77777777" w:rsidR="00865546" w:rsidRDefault="00865546" w:rsidP="00BC3D34">
      <w:pPr>
        <w:spacing w:after="0" w:line="240" w:lineRule="auto"/>
      </w:pPr>
      <w:r>
        <w:separator/>
      </w:r>
    </w:p>
  </w:endnote>
  <w:endnote w:type="continuationSeparator" w:id="0">
    <w:p w14:paraId="4108A282" w14:textId="77777777" w:rsidR="00865546" w:rsidRDefault="00865546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01D2" w14:textId="569675EC" w:rsidR="00865546" w:rsidRDefault="00B12D3D" w:rsidP="009A0FB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9781"/>
      </w:tabs>
      <w:ind w:right="49"/>
    </w:pPr>
    <w:r>
      <w:rPr>
        <w:rFonts w:ascii="Book Antiqua" w:hAnsi="Book Antiqua" w:cs="Arial"/>
        <w:sz w:val="18"/>
        <w:szCs w:val="18"/>
      </w:rPr>
      <w:t>WIF</w:t>
    </w:r>
    <w:r w:rsidR="003201F4">
      <w:rPr>
        <w:rFonts w:ascii="Book Antiqua" w:hAnsi="Book Antiqua" w:cs="Arial"/>
        <w:sz w:val="18"/>
        <w:szCs w:val="18"/>
      </w:rPr>
      <w:t>-</w:t>
    </w:r>
    <w:r w:rsidR="009A0FB5">
      <w:rPr>
        <w:rFonts w:ascii="Book Antiqua" w:hAnsi="Book Antiqua" w:cs="Arial"/>
        <w:sz w:val="18"/>
        <w:szCs w:val="18"/>
      </w:rPr>
      <w:t xml:space="preserve">06 </w:t>
    </w:r>
    <w:r>
      <w:rPr>
        <w:rFonts w:ascii="Book Antiqua" w:hAnsi="Book Antiqua" w:cs="Arial"/>
        <w:sz w:val="18"/>
        <w:szCs w:val="18"/>
      </w:rPr>
      <w:t xml:space="preserve">Cleaning of </w:t>
    </w:r>
    <w:r w:rsidR="00BA6455">
      <w:rPr>
        <w:rFonts w:ascii="Book Antiqua" w:hAnsi="Book Antiqua" w:cs="Arial"/>
        <w:sz w:val="18"/>
        <w:szCs w:val="18"/>
      </w:rPr>
      <w:t xml:space="preserve">PA </w:t>
    </w:r>
    <w:r>
      <w:rPr>
        <w:rFonts w:ascii="Book Antiqua" w:hAnsi="Book Antiqua" w:cs="Arial"/>
        <w:sz w:val="18"/>
        <w:szCs w:val="18"/>
      </w:rPr>
      <w:t>Fleet Vehicles</w:t>
    </w:r>
    <w:r>
      <w:rPr>
        <w:rFonts w:ascii="Book Antiqua" w:hAnsi="Book Antiqua" w:cs="Arial"/>
        <w:sz w:val="18"/>
        <w:szCs w:val="18"/>
      </w:rPr>
      <w:tab/>
    </w:r>
    <w:r w:rsidR="00865546" w:rsidRPr="00255AEB">
      <w:rPr>
        <w:rFonts w:ascii="Book Antiqua" w:hAnsi="Book Antiqua" w:cs="Arial"/>
        <w:sz w:val="18"/>
        <w:szCs w:val="18"/>
      </w:rPr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A4D0B">
      <w:rPr>
        <w:rStyle w:val="PageNumber"/>
        <w:rFonts w:ascii="Book Antiqua" w:hAnsi="Book Antiqua" w:cs="Arial"/>
        <w:noProof/>
        <w:sz w:val="18"/>
        <w:szCs w:val="18"/>
      </w:rPr>
      <w:t>2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A4D0B">
      <w:rPr>
        <w:rStyle w:val="PageNumber"/>
        <w:rFonts w:ascii="Book Antiqua" w:hAnsi="Book Antiqua"/>
        <w:noProof/>
        <w:sz w:val="18"/>
        <w:szCs w:val="18"/>
      </w:rPr>
      <w:t>3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25 September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A750" w14:textId="77777777" w:rsidR="00865546" w:rsidRDefault="00865546" w:rsidP="00BC3D34">
      <w:pPr>
        <w:spacing w:after="0" w:line="240" w:lineRule="auto"/>
      </w:pPr>
      <w:r>
        <w:separator/>
      </w:r>
    </w:p>
  </w:footnote>
  <w:footnote w:type="continuationSeparator" w:id="0">
    <w:p w14:paraId="1962F152" w14:textId="77777777" w:rsidR="00865546" w:rsidRDefault="00865546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B216" w14:textId="77777777" w:rsidR="00865546" w:rsidRPr="00BC3D34" w:rsidRDefault="00865546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AFFAAB" wp14:editId="583064E9">
              <wp:simplePos x="0" y="0"/>
              <wp:positionH relativeFrom="column">
                <wp:posOffset>3903345</wp:posOffset>
              </wp:positionH>
              <wp:positionV relativeFrom="paragraph">
                <wp:posOffset>-226060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C22F9" w14:textId="77777777" w:rsidR="00865546" w:rsidRDefault="00865546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F0E46B5" wp14:editId="01BB41FC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D3AED" w14:textId="77777777" w:rsidR="00865546" w:rsidRDefault="00865546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7DF04D1" wp14:editId="11C8761C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FAAB" id="Group 1" o:spid="_x0000_s1026" style="position:absolute;margin-left:307.35pt;margin-top:-17.8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39C22F9" w14:textId="77777777" w:rsidR="00865546" w:rsidRDefault="00865546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F0E46B5" wp14:editId="01BB41FC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87D3AED" w14:textId="77777777" w:rsidR="00865546" w:rsidRDefault="00865546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7DF04D1" wp14:editId="11C8761C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B12D3D">
      <w:rPr>
        <w:rFonts w:ascii="Book Antiqua" w:hAnsi="Book Antiqua" w:cs="Tahoma"/>
        <w:b/>
        <w:sz w:val="28"/>
        <w:szCs w:val="28"/>
      </w:rPr>
      <w:t xml:space="preserve">Cleaning of </w:t>
    </w:r>
    <w:r w:rsidR="00BA6455">
      <w:rPr>
        <w:rFonts w:ascii="Book Antiqua" w:hAnsi="Book Antiqua" w:cs="Tahoma"/>
        <w:b/>
        <w:sz w:val="28"/>
        <w:szCs w:val="28"/>
      </w:rPr>
      <w:t xml:space="preserve">PA </w:t>
    </w:r>
    <w:r w:rsidR="00B12D3D">
      <w:rPr>
        <w:rFonts w:ascii="Book Antiqua" w:hAnsi="Book Antiqua" w:cs="Tahoma"/>
        <w:b/>
        <w:sz w:val="28"/>
        <w:szCs w:val="28"/>
      </w:rPr>
      <w:t>Fleet Vehicles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322F7"/>
    <w:multiLevelType w:val="hybridMultilevel"/>
    <w:tmpl w:val="3A80C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105B"/>
    <w:multiLevelType w:val="hybridMultilevel"/>
    <w:tmpl w:val="602CF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C1CC8"/>
    <w:multiLevelType w:val="hybridMultilevel"/>
    <w:tmpl w:val="43C08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C742E"/>
    <w:multiLevelType w:val="hybridMultilevel"/>
    <w:tmpl w:val="C3E4A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2767A"/>
    <w:multiLevelType w:val="hybridMultilevel"/>
    <w:tmpl w:val="E14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28804">
    <w:abstractNumId w:val="3"/>
  </w:num>
  <w:num w:numId="2" w16cid:durableId="707877513">
    <w:abstractNumId w:val="1"/>
  </w:num>
  <w:num w:numId="3" w16cid:durableId="2057197857">
    <w:abstractNumId w:val="5"/>
  </w:num>
  <w:num w:numId="4" w16cid:durableId="238288987">
    <w:abstractNumId w:val="4"/>
  </w:num>
  <w:num w:numId="5" w16cid:durableId="1082143584">
    <w:abstractNumId w:val="0"/>
  </w:num>
  <w:num w:numId="6" w16cid:durableId="636452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D34"/>
    <w:rsid w:val="00073583"/>
    <w:rsid w:val="000C532A"/>
    <w:rsid w:val="0011158D"/>
    <w:rsid w:val="00123C5C"/>
    <w:rsid w:val="00190458"/>
    <w:rsid w:val="00190E5B"/>
    <w:rsid w:val="001A5B47"/>
    <w:rsid w:val="001C58E5"/>
    <w:rsid w:val="001E59EA"/>
    <w:rsid w:val="00255139"/>
    <w:rsid w:val="00281CE1"/>
    <w:rsid w:val="0028376E"/>
    <w:rsid w:val="002B1082"/>
    <w:rsid w:val="002E3CEF"/>
    <w:rsid w:val="0031368B"/>
    <w:rsid w:val="003201F4"/>
    <w:rsid w:val="00323341"/>
    <w:rsid w:val="003514D1"/>
    <w:rsid w:val="003D4643"/>
    <w:rsid w:val="003D59F5"/>
    <w:rsid w:val="00417F2F"/>
    <w:rsid w:val="004415F2"/>
    <w:rsid w:val="00474D1D"/>
    <w:rsid w:val="00496143"/>
    <w:rsid w:val="00505CF7"/>
    <w:rsid w:val="00566AF8"/>
    <w:rsid w:val="00566B6F"/>
    <w:rsid w:val="005A4D2C"/>
    <w:rsid w:val="005E77F3"/>
    <w:rsid w:val="00651B67"/>
    <w:rsid w:val="00674233"/>
    <w:rsid w:val="006B422E"/>
    <w:rsid w:val="006E02A8"/>
    <w:rsid w:val="006F378E"/>
    <w:rsid w:val="007604F1"/>
    <w:rsid w:val="00777554"/>
    <w:rsid w:val="00792C2B"/>
    <w:rsid w:val="007A4D0B"/>
    <w:rsid w:val="007B2C2C"/>
    <w:rsid w:val="00820108"/>
    <w:rsid w:val="00846F35"/>
    <w:rsid w:val="00865546"/>
    <w:rsid w:val="008A5B7B"/>
    <w:rsid w:val="008D33D2"/>
    <w:rsid w:val="00924CA7"/>
    <w:rsid w:val="009A0B07"/>
    <w:rsid w:val="009A0FB5"/>
    <w:rsid w:val="009B689C"/>
    <w:rsid w:val="00A050C5"/>
    <w:rsid w:val="00A41212"/>
    <w:rsid w:val="00AF0733"/>
    <w:rsid w:val="00B12D3D"/>
    <w:rsid w:val="00B611EE"/>
    <w:rsid w:val="00BA6455"/>
    <w:rsid w:val="00BC3D34"/>
    <w:rsid w:val="00C82763"/>
    <w:rsid w:val="00D02F04"/>
    <w:rsid w:val="00D268DD"/>
    <w:rsid w:val="00D8791F"/>
    <w:rsid w:val="00DA4855"/>
    <w:rsid w:val="00E63761"/>
    <w:rsid w:val="00E716E1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D2E0"/>
  <w15:docId w15:val="{CFFCAF85-BD0B-46CC-B392-8465E02A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B818-7B0E-495C-A359-3141BE5C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23</cp:revision>
  <cp:lastPrinted>2015-09-28T01:26:00Z</cp:lastPrinted>
  <dcterms:created xsi:type="dcterms:W3CDTF">2015-09-25T03:50:00Z</dcterms:created>
  <dcterms:modified xsi:type="dcterms:W3CDTF">2024-10-31T05:29:00Z</dcterms:modified>
</cp:coreProperties>
</file>